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SoZV</w:t>
      </w:r>
    </w:p>
    <w:p>
      <w:r>
        <w:rPr>
          <w:color w:val="555555"/>
          <w:sz w:val="18"/>
        </w:rPr>
        <w:t xml:space="preserve">Sommerzeitverordnung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mitteleuropäische Sommerzeit beginnt jeweils am letzten Sonntag im März um 2 Uhr mitteleuropäischer Zeit. Im Zeitpunkt des Beginns der Sommerzeit wird die Stundenzählung um eine Stunde von 2 Uhr auf 3 Uhr vorgestellt.</w:t>
      </w:r>
    </w:p>
    <w:p>
      <w:r>
        <w:t xml:space="preserve">(2) Die mitteleuropäische Sommerzeit endet jeweils am letzten Sonntag im Oktober um 3 Uhr mitteleuropäischer Sommerzeit. Im Zeitpunkt des Endes der Sommerzeit wird die Stundenzählung um eine Stunde von 3 Uhr auf 2 Uhr zurückgestellt. Die Stunde von 2 Uhr bis 3 Uhr erscheint dabei zweimal. Die erste Stunde (von 2 Uhr bis 3 Uhr mitteleuropäischer Sommerzeit) wird mit 2A und die zweite Stunde (von 2 Uhr bis 3 Uhr mitteleuropäischer Zeit) mit 2B bezeichnet.</w:t>
      </w:r>
    </w:p>
    <w:p>
      <w:r>
        <w:rPr>
          <w:color w:val="555555"/>
          <w:sz w:val="17"/>
        </w:rPr>
        <w:t xml:space="preserve">Zitiervorschlag: § 2 SoZV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