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SoLastVertV (Brandenburg) — Inkrafttreten, Außerkrafttreten</w:t>
      </w:r>
    </w:p>
    <w:p>
      <w:r>
        <w:rPr>
          <w:color w:val="555555"/>
          <w:sz w:val="18"/>
        </w:rPr>
        <w:t xml:space="preserve">Soziallastenausgleichsverteilverordnung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 die</w:t>
      </w:r>
    </w:p>
    <w:p>
      <w:r>
        <w:t xml:space="preserve">Verordnung zur Verteilung von Sonderbedarfs-Bundesergänzungszuweisungen vom 30. Mai 2005 ( GVBl. II S. 302), die zuletzt durch Artikel 1 der Verordnung vom 18. Mai 2007 (GVBl. II S. 127) geändert worden ist, und</w:t>
      </w:r>
    </w:p>
    <w:p>
      <w:r>
        <w:t xml:space="preserve">Verordnung zur Verteilung der Sonderbedarfs-Bundesergänzungszuweisungen 2005 vom 5. März 2013 (GVBl. II Nr. 22, 33)</w:t>
      </w:r>
    </w:p>
    <w:p>
      <w:r>
        <w:t xml:space="preserve">außer Kraft.</w:t>
      </w:r>
    </w:p>
    <w:p>
      <w:r>
        <w:t xml:space="preserve">Einzelnorm</w:t>
      </w:r>
    </w:p>
    <w:p>
      <w:r>
        <w:t xml:space="preserve">Potsdam, den 11. November 2019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3 SoLastVertV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https://recht.nulegal.eu/gesetze/SoLastVertV/3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