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SoLFischV (Brandenburg) — Inhalt und Dauer des Sonderlehrgangs</w:t>
      </w:r>
    </w:p>
    <w:p>
      <w:r>
        <w:rPr>
          <w:color w:val="555555"/>
          <w:sz w:val="18"/>
        </w:rPr>
        <w:t xml:space="preserve">Verordnung über Sonderlehrgänge zum Erwerb des Fischereischeines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Ausbildung hat sich an einem von der obersten Fischereibehörde bestätigten Lehrplan zu orientieren und umfasst 100 Stunden.</w:t>
      </w:r>
    </w:p>
    <w:p>
      <w:r>
        <w:t xml:space="preserve">(2) Gegenstand der Ausbildung sind mindestens die Kenntnisse und Fertigkeiten auf folgenden Sachgebieten:</w:t>
      </w:r>
    </w:p>
    <w:p>
      <w:r>
        <w:t xml:space="preserve">Fischkunde, insbesondere Kenntnisse der Fischarten, ihres Körperbaus, ihrer Lebensfunktionen, ihres Verhaltens, ihrer Umweltbeziehungen sowie Kenntnisse über Fischkrankheiten und Fischfeinde;</w:t>
      </w:r>
    </w:p>
    <w:p>
      <w:r>
        <w:t xml:space="preserve">Fischhege, insbesondere Kenntnisse über die Notwendigkeit und die Durchführung von Fischbesatz und Bestandsregulierungen;</w:t>
      </w:r>
    </w:p>
    <w:p>
      <w:r>
        <w:t xml:space="preserve">Behandlung der gefangenen Fische;</w:t>
      </w:r>
    </w:p>
    <w:p>
      <w:r>
        <w:t xml:space="preserve">Gewässerkunde und Gewässerschutz, insbesondere Kenntnisse der Eigenschaften des Wassers und der Gewässer als Lebensräume sowie über Maßnahmen der Pflege und Reinhaltung der Gewässer;</w:t>
      </w:r>
    </w:p>
    <w:p>
      <w:r>
        <w:t xml:space="preserve">Fanggeräte und deren Gebrauch, insbesondere Kenntnisse und Fertigkeiten der Herstellung, der Handhabung und Wartung;</w:t>
      </w:r>
    </w:p>
    <w:p>
      <w:r>
        <w:t xml:space="preserve">Gewässerbewirtschaftung, insbesondere Kenntnisse und Fertigkeiten des Einsatzes von Fanggeräten;</w:t>
      </w:r>
    </w:p>
    <w:p>
      <w:r>
        <w:t xml:space="preserve">einschlägige Rechtsvorschriften, insbesondere fischereiliche, wasser-, tierschutz-, tierseuchen- und naturschutzrechtliche Vorschriften.</w:t>
      </w:r>
    </w:p>
    <w:p>
      <w:r>
        <w:rPr>
          <w:color w:val="555555"/>
          <w:sz w:val="17"/>
        </w:rPr>
        <w:t xml:space="preserve">Zitiervorschlag: § 4 SoLFischV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https://recht.nulegal.eu/gesetze/SoLFischV/4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