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SoEnergieV</w:t>
      </w:r>
    </w:p>
    <w:p>
      <w:r>
        <w:rPr>
          <w:color w:val="555555"/>
          <w:sz w:val="18"/>
        </w:rPr>
        <w:t xml:space="preserve">Sonstige-Energiegewinnungsbereiche-Verordnung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Das Bundesministerium für Wirtschaft und Energie verordnet auf Grund des § 71 Nummer 5 des Windenergie-auf-See-Gesetzes vom 13. Oktober 2016 (BGBl. I S. 2258, 2310), der zuletzt durch Artikel 12a des Gesetzes vom 16. Juli 2021 (BGBl. I S. 3026) neu gefasst worden ist:</w:t>
      </w:r>
    </w:p>
    <w:p>
      <w:r>
        <w:rPr>
          <w:color w:val="555555"/>
          <w:sz w:val="17"/>
        </w:rPr>
        <w:t xml:space="preserve">Zitiervorschlag: Eingangsformel SoEnergieV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https://recht.nulegal.eu/gesetze/SoEnergieV/eingangsformel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