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SoEnergieV — Sicherheit</w:t>
      </w:r>
    </w:p>
    <w:p>
      <w:r>
        <w:rPr>
          <w:color w:val="555555"/>
          <w:sz w:val="18"/>
        </w:rPr>
        <w:t xml:space="preserve">Sonstige-Energiegewinnungsbereiche-Verordnung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Bieter müssen beim Bundesamt für Seeschifffahrt und Hydrographie für ihre Gebote bis zum jeweiligen Gebotstermin eine Sicherheit leisten. Durch die Sicherheit werden die jeweiligen Forderungen des Bundeshaushalts auf Pönalen nach § 15 gesichert. Die Höhe der Sicherheit bestimmt sich aus der Fläche des im Flächenentwicklungsplan festgelegten sonstigen Energiegewinnungsbereichs oder des Teilbereichs, auf die sich das Gebot bezieht, multipliziert mit 2 Euro pro Quadratmeter Fläche. § 31 Absatz 2 bis 5 des Erneuerbare-Energien-Gesetzes ist entsprechend anzuwenden, wobei an die Stelle der Bundesnetzagentur jeweils das Bundesamt für Seeschifffahrt und Hydrographie und an die Stelle des Übertragungsnetzbetreibers jeweils der Bundeshaushalt tritt.</w:t>
      </w:r>
    </w:p>
    <w:p>
      <w:r>
        <w:rPr>
          <w:color w:val="555555"/>
          <w:sz w:val="17"/>
        </w:rPr>
        <w:t xml:space="preserve">Zitiervorschlag: § 7 SoEnergieV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https://recht.nulegal.eu/gesetze/SoEnergieV/7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