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SoEnergieV — Ausschreibungsverfahren</w:t>
      </w:r>
    </w:p>
    <w:p>
      <w:r>
        <w:rPr>
          <w:color w:val="555555"/>
          <w:sz w:val="18"/>
        </w:rPr>
        <w:t xml:space="preserve">Sonstige-Energiegewinnungsbereiche-Verordnung</w:t>
      </w:r>
    </w:p>
    <w:p>
      <w:r>
        <w:rPr>
          <w:color w:val="555555"/>
          <w:sz w:val="18"/>
        </w:rPr>
        <w:t xml:space="preserve">Stand: 01.10.2021 (konsolidierte Textfassung, kein amtliches Inkrafttretensdatum)</w:t>
      </w:r>
    </w:p>
    <w:p>
      <w:r>
        <w:t xml:space="preserve">Das Bundesamt für Seeschifffahrt und Hydrographie schreibt Antragsberechtigungen erstmalig im Jahr 2022 aus. Erfolgt eine Änderung oder Fortschreibung des Flächenentwicklungsplans nach § 8 des Windenergie-auf-See-Gesetzes, die eine Festlegung anderer oder weiterer sonstiger Energiegewinnungsbereiche enthält, so macht das Bundesamt für Seeschifffahrt und Hydrographie spätestens sechs Monate nach Bekanntmachung des geänderten oder fortgeschriebenen Flächenentwicklungsplans die Ausschreibung nach § 6 bekannt. Sofern die Antragsberechtigung für eine Fläche nach § 13 Absatz 2 oder Absatz 3 unwirksam wird, soll diese Fläche von dem Bundesamt für Seeschifffahrt und Hydrographie grundsätzlich in dem Umfang, in dem die Antragsberechtigung unwirksam geworden ist, wieder ausgeschrieben werden.</w:t>
      </w:r>
    </w:p>
    <w:p>
      <w:r>
        <w:rPr>
          <w:color w:val="555555"/>
          <w:sz w:val="17"/>
        </w:rPr>
        <w:t xml:space="preserve">Zitiervorschlag: § 5 SoEnergieV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https://recht.nulegal.eu/gesetze/SoEnergieV/5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