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SoEnergieV — Begriffsbestimmungen</w:t>
      </w:r>
    </w:p>
    <w:p>
      <w:r>
        <w:rPr>
          <w:color w:val="555555"/>
          <w:sz w:val="18"/>
        </w:rPr>
        <w:t xml:space="preserve">Sonstige-Energiegewinnungsbereiche-Verordnung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Im Sinne dieser Verordnung ist</w:t>
      </w:r>
    </w:p>
    <w:p>
      <w:pPr>
        <w:ind w:left="420"/>
      </w:pPr>
      <w:r>
        <w:t xml:space="preserve">1. „Teilbereich“ ein abgrenzbarer Bereich, der sich innerhalb sonstiger Energiegewinnungsbereiche befindet und vom Bundesamt für Seeschifffahrt und Hydrographie als solcher ausgeschrieben worden ist,</w:t>
      </w:r>
    </w:p>
    <w:p>
      <w:pPr>
        <w:ind w:left="420"/>
      </w:pPr>
      <w:r>
        <w:t xml:space="preserve">2. „Übergabepunkt“ der Ort, an dem der in einer sonstigen Energiegewinnungsanlage auf See produzierte Energieträger in eine bestehende oder noch zu bauende Leitung eingespeist wird oder an Land transportiert wird; soweit ein Verbrauch des finalen Energieträgers auf See erfolgt, ist Übergabepunkt der Einspeisepunkt in die Verbrauchsstelle,</w:t>
      </w:r>
    </w:p>
    <w:p>
      <w:pPr>
        <w:ind w:left="420"/>
      </w:pPr>
      <w:r>
        <w:t xml:space="preserve">3. „finaler Energieträger“ der Energieträger, der im sonstigen Energiegewinnungsbereich nicht weiter umgewandelt oder aufbereitet wird.</w:t>
      </w:r>
    </w:p>
    <w:p>
      <w:r>
        <w:rPr>
          <w:color w:val="555555"/>
          <w:sz w:val="17"/>
        </w:rPr>
        <w:t xml:space="preserve">Zitiervorschlag: § 2 SoEnergieV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https://recht.nulegal.eu/gesetze/SoEnergieV/2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