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SoEnergieV — Inkrafttreten</w:t>
      </w:r>
    </w:p>
    <w:p>
      <w:r>
        <w:rPr>
          <w:color w:val="555555"/>
          <w:sz w:val="18"/>
        </w:rPr>
        <w:t xml:space="preserve">Sonstige-Energiegewinnungsbereiche-Verordnung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17 SoEnergieV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https://recht.nulegal.eu/gesetze/SoEnergieV/17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SoEnergieV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