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SoEnergieV — Ausschluss von Geboten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Das Bundesamt für Seeschifffahrt und Hydrographie schließt Gebote von dem Verfahren aus, wenn</w:t>
      </w:r>
    </w:p>
    <w:p>
      <w:pPr>
        <w:ind w:left="420"/>
      </w:pPr>
      <w:r>
        <w:t xml:space="preserve">1. die Anforderungen und Formatvorgaben für Gebote nach den §§ 4 und 8 nicht vollständig eingehalten wurden,</w:t>
      </w:r>
    </w:p>
    <w:p>
      <w:pPr>
        <w:ind w:left="420"/>
      </w:pPr>
      <w:r>
        <w:t xml:space="preserve">2. bis zum Gebotstermin beim Bundesamt für Seeschifffahrt und Hydrographie die Sicherheit nach § 7 nicht vollständig geleistet worden ist,</w:t>
      </w:r>
    </w:p>
    <w:p>
      <w:pPr>
        <w:ind w:left="420"/>
      </w:pPr>
      <w:r>
        <w:t xml:space="preserve">3. das Gebot Bedingungen, Befristungen oder sonstige Nebenabreden enthält, oder</w:t>
      </w:r>
    </w:p>
    <w:p>
      <w:pPr>
        <w:ind w:left="420"/>
      </w:pPr>
      <w:r>
        <w:t xml:space="preserve">4. das Gebot nicht den bekanntgemachten Festlegungen des Bundesamtes für Seeschifffahrt und Hydrographie entspricht, soweit diese die Gebotsabgabe betreffen.</w:t>
      </w:r>
    </w:p>
    <w:p>
      <w:r>
        <w:t xml:space="preserve">(2) Das Bundesamt für Seeschifffahrt und Hydrographie kann Gebote vom Verfahren ausschließen, wenn dem Gebot die Sicherheit bis zum Gebotstermin nicht eindeutig zugeordnet werden kann.</w:t>
      </w:r>
    </w:p>
    <w:p>
      <w:r>
        <w:rPr>
          <w:color w:val="555555"/>
          <w:sz w:val="17"/>
        </w:rPr>
        <w:t xml:space="preserve">Zitiervorschlag: § 10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SoEnergieV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