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SklHG</w:t>
      </w:r>
    </w:p>
    <w:p>
      <w:r>
        <w:rPr>
          <w:color w:val="555555"/>
          <w:sz w:val="18"/>
        </w:rPr>
        <w:t xml:space="preserve">Gesetz betreffend die Bestrafung des Sklavenraubes und des Sklavenhandels</w:t>
      </w:r>
    </w:p>
    <w:p>
      <w:r>
        <w:rPr>
          <w:color w:val="555555"/>
          <w:sz w:val="18"/>
        </w:rPr>
        <w:t xml:space="preserve">Stand: 10.06.2019 (konsolidierte Textfassung, kein amtliches Inkrafttretensdatum)</w:t>
      </w:r>
    </w:p>
    <w:p>
      <w:r>
        <w:t xml:space="preserve">Wer Sklavenhandel betreibt oder bei der diesem Handel dienenden Beförderung von Sklaven vorsätzlich mitwirkt, wird mit Freiheitsstrafe nicht unter einem Jahr bestraft. In minder schweren Fällen ist die Strafe Freiheitsstrafe von drei Monaten bis zu fünf Jahren.</w:t>
      </w:r>
    </w:p>
    <w:p>
      <w:r>
        <w:rPr>
          <w:color w:val="555555"/>
          <w:sz w:val="17"/>
        </w:rPr>
        <w:t xml:space="preserve">Zitiervorschlag: § 2 SklHG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https://recht.nulegal.eu/gesetze/SklHG/2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