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§ 4 SkAufG</w:t>
      </w:r>
    </w:p>
    <w:p>
      <w:r>
        <w:rPr>
          <w:color w:val="555555"/>
          <w:sz w:val="18"/>
        </w:rPr>
        <w:t xml:space="preserve">Streitkräfteaufenthaltsgesetz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Verpflichtungen der ausländischen Streitkräfte, die sich aus Artikel 2 § 12 Abs. 5 herleiten, lassen die bestehenden Verantwortlichkeiten für eine Liegenschaft gegenüber der Nachbarschaft und der Allgemeinheit unberührt.</w:t>
      </w:r>
    </w:p>
    <w:p>
      <w:r>
        <w:rPr>
          <w:color w:val="555555"/>
          <w:sz w:val="17"/>
        </w:rPr>
        <w:t xml:space="preserve">Zitiervorschlag: Art 3 § 4 SkAufG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https://recht.nulegal.eu/gesetze/SkAufG/3-4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