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2 § 4 SkAufG — Kriegswaffen</w:t>
      </w:r>
    </w:p>
    <w:p>
      <w:r>
        <w:rPr>
          <w:color w:val="555555"/>
          <w:sz w:val="18"/>
        </w:rPr>
        <w:t xml:space="preserve">Streitkräfteaufenthaltsgesetz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In der Vereinbarung sind Art und Anzahl der Kriegswaffen festzulegen, die ein- oder mitgeführt werden. Ferner ist zu bestimmen, in welcher Form nachzuweisen ist, daß die nach dem Gesetz über die Kontrolle von Kriegswaffen erforderlichen Genehmigungen als erteilt gelten.</w:t>
      </w:r>
    </w:p>
    <w:p>
      <w:r>
        <w:t xml:space="preserve">(2) Die nach dem Außenwirtschaftsgesetz erforderlichen Genehmigungen gelten als erteilt.</w:t>
      </w:r>
    </w:p>
    <w:p>
      <w:r>
        <w:rPr>
          <w:color w:val="555555"/>
          <w:sz w:val="17"/>
        </w:rPr>
        <w:t xml:space="preserve">Zitiervorschlag: Art 2 § 4 SkAufG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https://recht.nulegal.eu/gesetze/SkAufG/2-4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