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19 SkAufG — Übungen in deutschen Hoheitsgewässern</w:t>
      </w:r>
    </w:p>
    <w:p>
      <w:r>
        <w:rPr>
          <w:color w:val="555555"/>
          <w:sz w:val="18"/>
        </w:rPr>
        <w:t xml:space="preserve">Streitkräfteaufenthaltsgesetz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Übungen ausländischer Kriegs- und Hilfsschiffe im Küstenmeer und in den inneren Gewässern gelten die deutschen Vorschriften.</w:t>
      </w:r>
    </w:p>
    <w:p>
      <w:r>
        <w:t xml:space="preserve">(2) Die Nutzung bordeigener Luftfahrzeuge erfolgt auf der Grundlage des § 18.</w:t>
      </w:r>
    </w:p>
    <w:p>
      <w:r>
        <w:rPr>
          <w:color w:val="555555"/>
          <w:sz w:val="17"/>
        </w:rPr>
        <w:t xml:space="preserve">Zitiervorschlag: Art 2 § 19 SkAufG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https://recht.nulegal.eu/gesetze/SkAufG/2-19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