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13 SkAufG — Führerscheine, Luftfahrerscheine, Befähigungszeugnisse für militärische Wasserfahrzeuge</w:t>
      </w:r>
    </w:p>
    <w:p>
      <w:r>
        <w:rPr>
          <w:color w:val="555555"/>
          <w:sz w:val="18"/>
        </w:rPr>
        <w:t xml:space="preserve">Streitkräfteaufenthaltsgesetz</w:t>
      </w:r>
    </w:p>
    <w:p>
      <w:r>
        <w:rPr>
          <w:color w:val="555555"/>
          <w:sz w:val="18"/>
        </w:rPr>
        <w:t xml:space="preserve">Stand: 10.06.2019 (konsolidierte Textfassung, kein amtliches Inkrafttretensdatum)</w:t>
      </w:r>
    </w:p>
    <w:p>
      <w:r>
        <w:t xml:space="preserve">(1) Führerscheine oder andere Erlaubnisscheine, die den Mitgliedern ausländischer Streitkräfte von einer Behörde des ausländischen Staates zum Führen dienstlicher Land-, Wasser- oder Luftfahrzeuge erteilt worden sind, berechtigen zum Führen solcher Land-, Wasser- oder Luftfahrzeuge auch im Bundesgebiet. Sie sind in einer deutschen Übersetzung mitzuführen.</w:t>
      </w:r>
    </w:p>
    <w:p>
      <w:r>
        <w:t xml:space="preserve">(2) Die Behörden des ausländischen Staates stellen eine Bescheinigung in deutscher Sprache aus, aus der sich ergibt, daß der Inhaber dieser Führerscheine oder Erlaubnisscheine Mitglied der Streitkräfte des ausländischen Staates ist und diese gültig sind. Diese Bescheinigung ist zusammen mit dem ausländischen Führerschein oder Erlaubnisschein zu führen. Entsprechendes gilt für die im ausländischen Staat erworbenen Befähigungszeugnisse zum Führen oder Bedienen militärischer Wasserfahrzeuge.</w:t>
      </w:r>
    </w:p>
    <w:p>
      <w:r>
        <w:t xml:space="preserve">(3) Führerscheine für dienstliche Fahrzeuge berechtigen, soweit das nach dem Recht des ausländischen Staates zulässig ist, auch zum Führen entsprechender privater Landfahrzeuge. Eine entsprechende Bescheinigung, die mit einer deutschen Übersetzung zu versehen ist, muß beim Führen privater Kraftfahrzeuge ständig mitgeführt werden.</w:t>
      </w:r>
    </w:p>
    <w:p>
      <w:r>
        <w:rPr>
          <w:color w:val="555555"/>
          <w:sz w:val="17"/>
        </w:rPr>
        <w:t xml:space="preserve">Zitiervorschlag: Art 2 § 13 SkAufG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https://recht.nulegal.eu/gesetze/SkAufG/2-13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