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§ 1 SkAufG — Allgemeine Voraussetzungen</w:t>
      </w:r>
    </w:p>
    <w:p>
      <w:r>
        <w:rPr>
          <w:color w:val="555555"/>
          <w:sz w:val="18"/>
        </w:rPr>
        <w:t xml:space="preserve">Streitkräfteaufenthaltsgesetz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Einreise und Aufenthalt bestimmen sich die Rechte und Pflichten der ausländischen Streitkräfte und ihrer Mitglieder nach den deutschen Gesetzen und Rechtsvorschriften.</w:t>
      </w:r>
    </w:p>
    <w:p>
      <w:r>
        <w:t xml:space="preserve">(2) In der Vereinbarung sind die Rahmenbedingungen für den Aufenthalt der ausländischen Streitkräfte nach Art, Umfang und Dauer festzulegen.</w:t>
      </w:r>
    </w:p>
    <w:p>
      <w:r>
        <w:rPr>
          <w:color w:val="555555"/>
          <w:sz w:val="17"/>
        </w:rPr>
        <w:t xml:space="preserve">Zitiervorschlag: Art 2 § 1 SkAufG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https://recht.nulegal.eu/gesetze/SkAufG/2-1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