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SitzVergV (Bayern)</w:t>
      </w:r>
    </w:p>
    <w:p>
      <w:r>
        <w:rPr>
          <w:color w:val="555555"/>
          <w:sz w:val="18"/>
        </w:rPr>
        <w:t xml:space="preserve">Sitzungsvergütungsverordnung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48 Abs. 2 des Bundesbesoldungsgesetzes in der Fassung der Bekanntmachung vom 3. Dezember 1998 (BGBl I S. 3434) in Verbindung mit § 1 der Verordnung über Zuständigkeiten zum Erlass von Rechtsverordnungen im Vollzug des Zweiten Gesetzes zur Vereinheitlichung und Neuregelung des Besoldungsrechts in Bund und Ländern (BayRS 2032-3-1-2-F) erlässt das Bayerische Staatsministerium des Innern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SitzVergV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https://recht.nulegal.eu/gesetze/SitzVergV/eingangsformel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