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SitzVergV (Bayern) — Anspruchsvoraussetzungen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Laufbahnbeamte in Gemeinden mit weniger als 40.000 Einwohnern, denen Grundbezüge nach der Besoldungsordnung A zustehen, erhalten eine Sitzungsvergütung, wenn sie</w:t>
      </w:r>
    </w:p>
    <w:p>
      <w:r>
        <w:t xml:space="preserve">1. als Protokollführer regelmäßig an überwiegend außerhalb der regelmäßigen Arbeitszeit, bei gleitender Arbeitszeit überwiegend außerhalb der Kern- und Gleitzeiten stattfindenden Sitzungen des Gemeinderats oder seiner Ausschüsse teilnehmen und</w:t>
      </w:r>
    </w:p>
    <w:p>
      <w:r>
        <w:t xml:space="preserve">2. für diese außerhalb der nach Nummer 1 maßgeblichen Arbeitszeit erbrachte Arbeitsleistung aus dienstlichen Gründen keine Dienstbefreiung innerhalb des Kalendermonats erhalten konnten, in dem die Sitzungen stattgefunden haben.</w:t>
      </w:r>
    </w:p>
    <w:p>
      <w:r>
        <w:t xml:space="preserve">Für Beamte von Verwaltungsgemeinschaften, deren Mitgliedsgemeinden zusammen weniger als 40.000 Einwohner haben, gilt Satz 1 entsprechend, wenn sie an Sitzungen der Vertretungsorgane der Mitgliedsgemeinden oder der Verwaltungsgemeinschaft oder ihrer Ausschüsse teilnehmen.</w:t>
      </w:r>
    </w:p>
    <w:p>
      <w:r>
        <w:t xml:space="preserve">(2) Eine Sitzungsvergütung wird nur gewährt, wenn der Beamte in dem Kalendermonat das Protokoll für mindestens zwei Sitzungen im Sinn des Absatzes 1 Satz 1 Nr. 1 geführt hat. Die Protokollführung kann je Sitzung nicht mehreren Beamten zugerechnet werden.</w:t>
      </w:r>
    </w:p>
    <w:p>
      <w:r>
        <w:t xml:space="preserve">(3) Die Sitzungsvergütung wird nicht neben einer Aufwandsentschädigung gewährt. Ein allgemein mit der Sitzungstätigkeit verbundener Aufwand ist durch die Sitzungsvergütung mit abgegolten. Reisekostenrechtliche Ansprüche bleiben unberührt.</w:t>
      </w:r>
    </w:p>
    <w:p>
      <w:r>
        <w:rPr>
          <w:color w:val="555555"/>
          <w:sz w:val="17"/>
        </w:rPr>
        <w:t xml:space="preserve">Zitiervorschlag: § 1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