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SitzVergV - (Nordrhein-Westfalen) — Sitzungsvergütung</w:t>
      </w:r>
    </w:p>
    <w:p>
      <w:r>
        <w:rPr>
          <w:color w:val="555555"/>
          <w:sz w:val="18"/>
        </w:rPr>
        <w:t xml:space="preserve">Sitzungsvergütungsverordnung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Vergütung beträgt unter den Voraussetzungen der §§ 1 und 2 bei</w:t>
      </w:r>
    </w:p>
    <w:p>
      <w:r>
        <w:t xml:space="preserve">bis zu drei Sitzungen im Kalendermonat</w:t>
      </w:r>
    </w:p>
    <w:p>
      <w:r>
        <w:t xml:space="preserve">25,56 Euro,</w:t>
      </w:r>
    </w:p>
    <w:p>
      <w:r>
        <w:t xml:space="preserve">vier oder fünf Sitzungen im Kalendermonat</w:t>
      </w:r>
    </w:p>
    <w:p>
      <w:r>
        <w:t xml:space="preserve">38,35 Euro,</w:t>
      </w:r>
    </w:p>
    <w:p>
      <w:r>
        <w:t xml:space="preserve">mehr als fünf Sitzungen im Kalendermonat</w:t>
      </w:r>
    </w:p>
    <w:p>
      <w:r>
        <w:t xml:space="preserve">51,13 Euro.</w:t>
      </w:r>
    </w:p>
    <w:p>
      <w:r>
        <w:t xml:space="preserve">(2) Wird ein Freizeitausgleich gewährt, ist dieser beim Anspruchsgrund nach § 2 Abs. 2 und bei der Höhe der Sitzungsvergütung (Absatz 1) in der zeitlichen Folge der Sitzungen zu berücksichtigen.</w:t>
      </w:r>
    </w:p>
    <w:p>
      <w:r>
        <w:rPr>
          <w:color w:val="555555"/>
          <w:sz w:val="17"/>
        </w:rPr>
        <w:t xml:space="preserve">Zitiervorschlag: § 3 SitzVergV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https://recht.nulegal.eu/gesetze/SitzVergV%20-/3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