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SitzVergV - (Nordrhein-Westfalen) — Begriffsbestimmungen</w:t>
      </w:r>
    </w:p>
    <w:p>
      <w:r>
        <w:rPr>
          <w:color w:val="555555"/>
          <w:sz w:val="18"/>
        </w:rPr>
        <w:t xml:space="preserve">Sitzungsvergütungsverordnung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Zahl der Einwohner im Sinne des § 1 Abs. 1 richtet sich nach der für die Eingruppierung der kommunalen Wahlbeamten auf Zeit maßgebenden Einwohnerzahl.</w:t>
      </w:r>
    </w:p>
    <w:p>
      <w:r>
        <w:t xml:space="preserve">(2) Regelmäßige Teilnahme an Sitzungen im Sinne des § 1 Abs. 1 Nr. 1 liegt vor, wenn der Beamte als Protokollführer an wenigstens zwei Sitzungen im Kalendermonat teilnimmt. Nur ein Beamter kann je Sitzung als Protokollführer berücksichtigt werden.</w:t>
      </w:r>
    </w:p>
    <w:p>
      <w:r>
        <w:rPr>
          <w:color w:val="555555"/>
          <w:sz w:val="17"/>
        </w:rPr>
        <w:t xml:space="preserve">Zitiervorschlag: § 2 SitzVergV -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https://recht.nulegal.eu/gesetze/SitzVergV%20-/2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