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SignBenennV — Inkrafttreten</w:t>
      </w:r>
    </w:p>
    <w:p>
      <w:r>
        <w:rPr>
          <w:color w:val="555555"/>
          <w:sz w:val="18"/>
        </w:rPr>
        <w:t xml:space="preserve">Signatarebenennungsverordnung</w:t>
      </w:r>
    </w:p>
    <w:p>
      <w:r>
        <w:rPr>
          <w:color w:val="555555"/>
          <w:sz w:val="18"/>
        </w:rPr>
        <w:t xml:space="preserve">Historische Fassung: Stand 10.06.2019 bis 06.12.2023. Dies ist nicht die aktuelle Fassung.</w:t>
      </w:r>
    </w:p>
    <w:p>
      <w:r>
        <w:t xml:space="preserve">Diese Verordnung tritt mit Wirkung vom 4. Februar 2003 in Kraft.</w:t>
      </w:r>
    </w:p>
    <w:p>
      <w:r>
        <w:rPr>
          <w:color w:val="555555"/>
          <w:sz w:val="17"/>
        </w:rPr>
        <w:t xml:space="preserve">Zitiervorschlag: § 5 SignBenennV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https://recht.nulegal.eu/gesetze/SignBenennV/5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