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SignBenennV — Gebührenhöhe</w:t>
      </w:r>
    </w:p>
    <w:p>
      <w:r>
        <w:rPr>
          <w:color w:val="555555"/>
          <w:sz w:val="18"/>
        </w:rPr>
        <w:t xml:space="preserve">Signatarebenennungsverordnung</w:t>
      </w:r>
    </w:p>
    <w:p>
      <w:r>
        <w:rPr>
          <w:color w:val="555555"/>
          <w:sz w:val="18"/>
        </w:rPr>
        <w:t xml:space="preserve">Historische Fassung: Stand 10.06.2019 bis 06.12.2023. Dies ist nicht die aktuelle Fassung.</w:t>
      </w:r>
    </w:p>
    <w:p>
      <w:r>
        <w:t xml:space="preserve">Für Amtshandlungen in Zusammenhang mit Entscheidungen über die Benennung eines Signatars wird eine einmalige Gebühr von 500 Euro erhoben.</w:t>
      </w:r>
    </w:p>
    <w:p>
      <w:r>
        <w:rPr>
          <w:color w:val="555555"/>
          <w:sz w:val="17"/>
        </w:rPr>
        <w:t xml:space="preserve">Zitiervorschlag: § 4 SignBenennV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https://recht.nulegal.eu/gesetze/SignBenennV/4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