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SignBenennV — Anwendungsbereich</w:t>
      </w:r>
    </w:p>
    <w:p>
      <w:r>
        <w:rPr>
          <w:color w:val="555555"/>
          <w:sz w:val="18"/>
        </w:rPr>
        <w:t xml:space="preserve">Signatarebenennungsverordnung</w:t>
      </w:r>
    </w:p>
    <w:p>
      <w:r>
        <w:rPr>
          <w:color w:val="555555"/>
          <w:sz w:val="18"/>
        </w:rPr>
        <w:t xml:space="preserve">Historische Fassung: Stand 10.06.2019 bis 06.12.2023. Dies ist nicht die aktuelle Fassung.</w:t>
      </w:r>
    </w:p>
    <w:p>
      <w:r>
        <w:t xml:space="preserve">Diese Verordnung regelt</w:t>
      </w:r>
    </w:p>
    <w:p>
      <w:pPr>
        <w:ind w:left="420"/>
      </w:pPr>
      <w:r>
        <w:t xml:space="preserve">1. die Voraussetzungen und das Verfahren der Benennung von Signataren des Betriebsabkommens von INTERSPUTNIK durch die Bundesregierung als Vertragspartei von INTERSPUTNIK,</w:t>
      </w:r>
    </w:p>
    <w:p>
      <w:pPr>
        <w:ind w:left="420"/>
      </w:pPr>
      <w:r>
        <w:t xml:space="preserve">2. die Erhebung von Kosten (Gebühren und Auslagen) für Entscheidungen über die Benennung von Signataren.</w:t>
      </w:r>
    </w:p>
    <w:p>
      <w:r>
        <w:rPr>
          <w:color w:val="555555"/>
          <w:sz w:val="17"/>
        </w:rPr>
        <w:t xml:space="preserve">Zitiervorschlag: § 1 SignBenennV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https://recht.nulegal.eu/gesetze/SignBenennV/1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