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SiebdrMstrV 2006</w:t>
      </w:r>
    </w:p>
    <w:p>
      <w:r>
        <w:rPr>
          <w:color w:val="555555"/>
          <w:sz w:val="18"/>
        </w:rPr>
        <w:t xml:space="preserve">Siebdruckermeisterverordnung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51a Abs. 2 in Verbindung mit Abs. 1 der Handwerksordnung in der Fassung der Bekanntmachung vom 24. September 1998 (BGBl. I S. 3074), der durch Artikel 2 Nr. 24 des Gesetzes vom 23. März 2005 (BGBl. I S. 931) geändert worden ist, in Verbindung mit § 1 Abs. 2 des Zuständigkeitsanpassungsgesetzes vom 16. August 2002 (BGBl. I S. 3165) und dem Organisationserlass vom 22. November 2005 (BGBl. I S. 3197)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SiebdrMstrV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https://recht.nulegal.eu/gesetze/SiebdrMstrV%202006/eingangsformel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