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SichLVFinV 2016</w:t>
      </w:r>
    </w:p>
    <w:p>
      <w:r>
        <w:rPr>
          <w:color w:val="555555"/>
          <w:sz w:val="18"/>
        </w:rPr>
        <w:t xml:space="preserve">Verordnung über die Finanzierung des Sicherungsfonds für die Lebensversicherer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226 Absatz 7 des Versicherungsaufsichtsgesetzes vom 1. April 2015 (BGBl. I S. 434) verordnet das Bundesministerium der Finanzen im Benehmen mit dem Bundesministerium der Justiz und für Verbraucherschutz:</w:t>
      </w:r>
    </w:p>
    <w:p>
      <w:r>
        <w:rPr>
          <w:color w:val="555555"/>
          <w:sz w:val="17"/>
        </w:rPr>
        <w:t xml:space="preserve">Zitiervorschlag: Eingangsformel SichLVFinV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https://recht.nulegal.eu/gesetze/SichLVFinV%202016/eingangsformel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