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SichKVV</w:t>
      </w:r>
    </w:p>
    <w:p>
      <w:r>
        <w:rPr>
          <w:color w:val="555555"/>
          <w:sz w:val="18"/>
        </w:rPr>
        <w:t xml:space="preserve">Verordnung über die Übertragung von Aufgaben und Befugnissen eines Sicherungsfonds für die Krankenversicherung an die Medicator 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127 Abs. 1 des Versicherungsaufsichtsgesetzes in der Fassung der Bekanntmachung vom 17. Dezember 1992 (BGBl. 1993 I S. 2), der durch Artikel 1 Nr. 27 des Gesetzes vom 15. Dezember 2004 (BGBl. I S. 3416) eingefügt worden ist, in Verbindung mit § 1 Abs. 2 des Zuständigkeitsanpassungsgesetzes vom 16. August 2002 (BGBl. I S. 3165) und dem Organisationserlass vom 22. November 2005 (BGBl. I S. 3197) verordnet das Bundesministerium der Finanzen im Einvernehmen mit dem Bundesministerium für Ernährung, Landwirtschaft und Verbraucherschutz:</w:t>
      </w:r>
    </w:p>
    <w:p>
      <w:r>
        <w:rPr>
          <w:color w:val="555555"/>
          <w:sz w:val="17"/>
        </w:rPr>
        <w:t xml:space="preserve">Zitiervorschlag: Eingangsformel SichKVV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https://recht.nulegal.eu/gesetze/SichKVV/eingangsformel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