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SiV</w:t>
      </w:r>
    </w:p>
    <w:p>
      <w:r>
        <w:rPr>
          <w:color w:val="555555"/>
          <w:sz w:val="18"/>
        </w:rPr>
        <w:t xml:space="preserve">Sicherheitenverordnung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Auf Grund des § 240a Absatz 1 in Verbindung mit Absatz 2 des Bürgerlichen Gesetzbuchs, von denen Absatz 1 durch Artikel 5 Nummer 1 des Gesetzes vom 24. Juni 2022 (BGBl. I S. 959) geändert und Absatz 2 durch Artikel 1 Nummer 4 des Gesetzes vom 4. Mai 2021 (BGBl. I S. 882) eingefügt worden ist, verordnet das Bundesministerium der Justiz:</w:t>
      </w:r>
    </w:p>
    <w:p>
      <w:r>
        <w:rPr>
          <w:color w:val="555555"/>
          <w:sz w:val="17"/>
        </w:rPr>
        <w:t xml:space="preserve">Zitiervorschlag: Eingangsformel SiV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