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SiV — Kapital- oder Geldanlage nach den §§ 1079, 1288 Absatz 1 und § 2119 des Bürgerlichen Gesetzbuchs</w:t>
      </w:r>
    </w:p>
    <w:p>
      <w:r>
        <w:rPr>
          <w:color w:val="555555"/>
          <w:sz w:val="18"/>
        </w:rPr>
        <w:t xml:space="preserve">Sicherheitenverordnung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Diejenigen, die nach den §§ 1079, 1288 Absatz 1 und § 2119 des Bürgerlichen Gesetzbuchs zur Anlage von Kapital oder Geld verpflichtet sind, haben dies wie folgt anzulegen:</w:t>
      </w:r>
    </w:p>
    <w:p>
      <w:pPr>
        <w:ind w:left="420"/>
      </w:pPr>
      <w:r>
        <w:t xml:space="preserve">1. in Wertpapieren, die auf inländische Zahlungsmittel lauten und einer der in § 1 Nummer 1 bis 5 genannten Gattungen angehören,</w:t>
      </w:r>
    </w:p>
    <w:p>
      <w:pPr>
        <w:ind w:left="420"/>
      </w:pPr>
      <w:r>
        <w:t xml:space="preserve">2. in Hypothekenforderungen, Grundschulden oder Rentenschulden an inländischen Grundstücken, die zur Sicherheitsleistung geeignet sind,</w:t>
      </w:r>
    </w:p>
    <w:p>
      <w:pPr>
        <w:ind w:left="420"/>
      </w:pPr>
      <w:r>
        <w:t xml:space="preserve">3. in verbrieften Forderungen gegen den Bund oder ein Land, oder in verbrieften Forderungen, deren Verzinsung der Bund oder ein Land gewährleistet,</w:t>
      </w:r>
    </w:p>
    <w:p>
      <w:pPr>
        <w:ind w:left="420"/>
      </w:pPr>
      <w:r>
        <w:t xml:space="preserve">4. in Schuldverschreibungen, deren Schuldner der Bund oder ein Land ist und die in ein elektronisches Wertpapierregister nach § 4 Absatz 1 des Gesetzes über elektronische Wertpapiere eingetragen sind,</w:t>
      </w:r>
    </w:p>
    <w:p>
      <w:pPr>
        <w:ind w:left="420"/>
      </w:pPr>
      <w:r>
        <w:t xml:space="preserve">5. in Schuldverschreibungen, deren Verzinsung der Bund oder ein Land gewährleistet und die in ein elektronisches Wertpapierregister nach § 4 Absatz 1 des Gesetzes über elektronische Wertpapiere eingetragen sind,</w:t>
      </w:r>
    </w:p>
    <w:p>
      <w:pPr>
        <w:ind w:left="420"/>
      </w:pPr>
      <w:r>
        <w:t xml:space="preserve">6. in Forderungen, die in das Bundesschuldbuch oder ein Landesschuldbuch eingetragen sind, oder</w:t>
      </w:r>
    </w:p>
    <w:p>
      <w:pPr>
        <w:ind w:left="420"/>
      </w:pPr>
      <w:r>
        <w:t xml:space="preserve">7. bei einem Kreditinstitut, das einer für die Anlage ausreichenden Sicherungseinrichtung angehört.</w:t>
      </w:r>
    </w:p>
    <w:p>
      <w:r>
        <w:rPr>
          <w:color w:val="555555"/>
          <w:sz w:val="17"/>
        </w:rPr>
        <w:t xml:space="preserve">Zitiervorschlag: § 3 SiV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https://recht.nulegal.eu/gesetze/SiV/3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