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SiV — Zur Sicherheitsleistung geeignete Wertpapiere</w:t>
      </w:r>
    </w:p>
    <w:p>
      <w:r>
        <w:rPr>
          <w:color w:val="555555"/>
          <w:sz w:val="18"/>
        </w:rPr>
        <w:t xml:space="preserve">Sicherheitenverordnung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Zur Sicherheitsleistung geeignet sind Inhaberpapiere und Orderpapiere, die mit Blankoindossament versehen sind, wenn sie auf inländische Zahlungsmittel lauten und einer der folgenden Gattungen angehören:</w:t>
      </w:r>
    </w:p>
    <w:p>
      <w:pPr>
        <w:ind w:left="420"/>
      </w:pPr>
      <w:r>
        <w:t xml:space="preserve">1. Schuldverschreibungen,</w:t>
      </w:r>
    </w:p>
    <w:p>
      <w:pPr>
        <w:ind w:left="780"/>
      </w:pPr>
      <w:r>
        <w:t xml:space="preserve">a) die als Pfandbriefe nach den Vorschriften des Pfandbriefgesetzes ausgegeben werden,</w:t>
      </w:r>
    </w:p>
    <w:p>
      <w:pPr>
        <w:ind w:left="780"/>
      </w:pPr>
      <w:r>
        <w:t xml:space="preserve">b) auf die das Pfandbriefgesetz anzuwenden ist oder</w:t>
      </w:r>
    </w:p>
    <w:p>
      <w:pPr>
        <w:ind w:left="780"/>
      </w:pPr>
      <w:r>
        <w:t xml:space="preserve">c) die als Europäische gedeckte Schuldverschreibung im Sinne des § 41a Absatz 1 Nummer 2 des Pfandbriefgesetzes ausgegeben werden,</w:t>
      </w:r>
    </w:p>
    <w:p>
      <w:pPr>
        <w:ind w:left="420"/>
      </w:pPr>
      <w:r>
        <w:t xml:space="preserve">2. gedeckte Schuldverschreibungen, die nach § 13 des Gesetzes über die Landwirtschaftliche Rentenbank in der Fassung der Bekanntmachung vom 12. Dezember 2013 (BGBl. I S. 4120), das zuletzt durch Artikel 14 Absatz 7 des Gesetzes vom 17. Juli 2017 (BGBl. I S. 2446) geändert worden ist, in der jeweils geltenden Fassung, ausgegeben werden,</w:t>
      </w:r>
    </w:p>
    <w:p>
      <w:pPr>
        <w:ind w:left="420"/>
      </w:pPr>
      <w:r>
        <w:t xml:space="preserve">3. gedeckte Schuldverschreibungen, die nach § 9 des DG Bank-Umwandlungsgesetzes vom 13. August 1998 (BGBl. I S. 2102), das zuletzt durch Artikel 9 des Gesetzes vom 22. Mai 2005 (BGBl. I S. 1373) geändert worden ist, in der jeweils geltenden Fassung, ausgegeben werden,</w:t>
      </w:r>
    </w:p>
    <w:p>
      <w:pPr>
        <w:ind w:left="420"/>
      </w:pPr>
      <w:r>
        <w:t xml:space="preserve">4. Schuldverschreibungen der Kreditanstalt für Wiederaufbau,</w:t>
      </w:r>
    </w:p>
    <w:p>
      <w:pPr>
        <w:ind w:left="420"/>
      </w:pPr>
      <w:r>
        <w:t xml:space="preserve">5. gedeckte Schuldverschreibungen, die nach § 7 des DSL Bank-Umwandlungsgesetzes vom 16. Dezember 1999 (BGBl. I S. 2441), das zuletzt durch Artikel 11 des Gesetzes vom 10. Juli 2018 (BGBl. I S. 1102) geändert worden ist, ausgegeben wurden.</w:t>
      </w:r>
    </w:p>
    <w:p>
      <w:r>
        <w:rPr>
          <w:color w:val="555555"/>
          <w:sz w:val="17"/>
        </w:rPr>
        <w:t xml:space="preserve">Zitiervorschlag: § 1 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