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SiTechZStV (Bayern) — Anlage zu Artikel 12 Schiedsvertrag über die Regelung von Streitigkeiten aus dem Abkommen über die Zentralstelle der Länder für Sicherheitstechnik und über die Akkreditierungsstelle der Länder für Meß- und Prüfstellen zum Vollzug des Gefahrstoffrechts</w:t>
      </w:r>
    </w:p>
    <w:p>
      <w:r>
        <w:rPr>
          <w:color w:val="555555"/>
          <w:sz w:val="18"/>
        </w:rPr>
        <w:t xml:space="preserve">Abkommen über die Zentralstelle der Länder für Sicherheitstechnik Vom 16./17. Dezember 1993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Schleswig-Holstein,</w:t>
      </w:r>
    </w:p>
    <w:p>
      <w:r>
        <w:t xml:space="preserve">der Freistaat Thüringen</w:t>
      </w:r>
    </w:p>
    <w:p>
      <w:r>
        <w:t xml:space="preserve">schließen folgenden Schiedsvertrag:</w:t>
      </w:r>
    </w:p>
    <w:p>
      <w:r>
        <w:rPr>
          <w:color w:val="555555"/>
          <w:sz w:val="17"/>
        </w:rPr>
        <w:t xml:space="preserve">Zitiervorschlag: Anlage SiTechZStV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https://recht.nulegal.eu/gesetze/SiTechZStV/anlage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