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SiSchmAusbV</w:t>
      </w:r>
    </w:p>
    <w:p>
      <w:r>
        <w:rPr>
          <w:color w:val="555555"/>
          <w:sz w:val="18"/>
        </w:rPr>
        <w:t xml:space="preserve">Silberschmied-Ausbildungsverordnung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Auf Grund des § 25 des Berufsbildungsgesetzes vom 14. August 1969 (BGBl. I S. 1112), der zuletzt durch § 24 Nr. 1 des Gesetzes vom 24. August 1976 (BGBl. I S. 2525) geändert worden ist, und auf Grund des § 25 der Handwerksordnung in der Fassung der Bekanntmachung vom 28. Dezember 1965 (BGBl. 1966 I S. 1), der zuletzt durch § 25 Nr. 1 des Gesetzes vom 24. August 1976 (BGBl. I S. 2525) geändert worden ist, verordnet der Bundesminister für Wirtschaft im Einvernehmen mit dem Bundesminister für Bildung und Wissenschaft:</w:t>
      </w:r>
    </w:p>
    <w:p>
      <w:r>
        <w:rPr>
          <w:color w:val="555555"/>
          <w:sz w:val="17"/>
        </w:rPr>
        <w:t xml:space="preserve">Zitiervorschlag: Eingangsformel SiSchmAusbV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https://recht.nulegal.eu/gesetze/SiSchmAusbV/eingangsformel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