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SiSchmAusbV — Übergangsregelung</w:t>
      </w:r>
    </w:p>
    <w:p>
      <w:r>
        <w:rPr>
          <w:color w:val="555555"/>
          <w:sz w:val="18"/>
        </w:rPr>
        <w:t xml:space="preserve">Silberschmied-Ausbildungsverordnung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11 SiSchmAusbV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https://recht.nulegal.eu/gesetze/SiSchmAusbV/11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