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SiMuV (Bayern) — Betrieb und Unterrichtsentgelte</w:t>
      </w:r>
    </w:p>
    <w:p>
      <w:r>
        <w:rPr>
          <w:color w:val="555555"/>
          <w:sz w:val="18"/>
        </w:rPr>
        <w:t xml:space="preserve">Sing- und Musikschulverordnung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den inneren Betrieb der Musikschule oder Singschule erläßt der Träger eine Ordnung.</w:t>
      </w:r>
    </w:p>
    <w:p>
      <w:r>
        <w:t xml:space="preserve">(2) Zur Deckung der Kosten können Unterrichtsentgelte erhoben werden. Dabei sind soziale Gesichtspunkte zu berücksichtigen.</w:t>
      </w:r>
    </w:p>
    <w:p>
      <w:r>
        <w:rPr>
          <w:color w:val="555555"/>
          <w:sz w:val="17"/>
        </w:rPr>
        <w:t xml:space="preserve">Zitiervorschlag: § 5 SiMuV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https://recht.nulegal.eu/gesetze/SiMuV/5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