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SiMuV (Bayern) — Unterrichtsangebot an Singschulen</w:t>
      </w:r>
    </w:p>
    <w:p>
      <w:r>
        <w:rPr>
          <w:color w:val="555555"/>
          <w:sz w:val="18"/>
        </w:rPr>
        <w:t xml:space="preserve">Sing- und Musikschulverordnung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Singschule muß mindestens folgende Bereiche anbieten:</w:t>
      </w:r>
    </w:p>
    <w:p>
      <w:r>
        <w:t xml:space="preserve">1. Musikalische Grundfächer:</w:t>
      </w:r>
    </w:p>
    <w:p>
      <w:r>
        <w:t xml:space="preserve">Musikalische Früherziehung, Musikalische Grundausbildung,</w:t>
      </w:r>
    </w:p>
    <w:p>
      <w:r>
        <w:t xml:space="preserve">2. Vokalunterricht in Singklassen,</w:t>
      </w:r>
    </w:p>
    <w:p>
      <w:r>
        <w:t xml:space="preserve">3. Ensemblefächer.</w:t>
      </w:r>
    </w:p>
    <w:p>
      <w:r>
        <w:rPr>
          <w:color w:val="555555"/>
          <w:sz w:val="17"/>
        </w:rPr>
        <w:t xml:space="preserve">Zitiervorschlag: § 3 SiMuV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https://recht.nulegal.eu/gesetze/SiMuV/3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