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SiMuV (Bayern) — Unterrichtsangebot an Musikschulen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Musikschule muß kontinuierlichen Unterricht in mindestens folgenden Bereichen anbieten:</w:t>
      </w:r>
    </w:p>
    <w:p>
      <w:r>
        <w:t xml:space="preserve">1. Musikalische Grundfächer:</w:t>
      </w:r>
    </w:p>
    <w:p>
      <w:r>
        <w:t xml:space="preserve">Musikalische Früherziehung, Musikalische Grundausbildung,</w:t>
      </w:r>
    </w:p>
    <w:p>
      <w:r>
        <w:t xml:space="preserve">2. Instrumentalunterricht aus jedem der Bereiche</w:t>
      </w:r>
    </w:p>
    <w:p>
      <w:r>
        <w:t xml:space="preserve">a) Streich- und Zupfinstrumente,</w:t>
      </w:r>
    </w:p>
    <w:p>
      <w:r>
        <w:t xml:space="preserve">b) Blas- und Schlaginstrumente,</w:t>
      </w:r>
    </w:p>
    <w:p>
      <w:r>
        <w:t xml:space="preserve">c) Tasteninstrumente,</w:t>
      </w:r>
    </w:p>
    <w:p>
      <w:r>
        <w:t xml:space="preserve">3. Ensemblefächer.</w:t>
      </w:r>
    </w:p>
    <w:p>
      <w:r>
        <w:t xml:space="preserve">Soweit die Musikschule auch Vokalunterricht anbietet, kann sie die Bezeichnung Sing- und Musikschule führen.</w:t>
      </w:r>
    </w:p>
    <w:p>
      <w:r>
        <w:t xml:space="preserve">(2) Dem Instrumentalunterricht soll für Kinder im Grund- und Vorschulalter ein mindestens einjähriger Besuch eines Grundfaches vorausgehen.</w:t>
      </w:r>
    </w:p>
    <w:p>
      <w:r>
        <w:rPr>
          <w:color w:val="555555"/>
          <w:sz w:val="17"/>
        </w:rPr>
        <w:t xml:space="preserve">Zitiervorschlag: § 2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