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SiMuV (Bayern) — Bezeichnungsberechtigung</w:t>
      </w:r>
    </w:p>
    <w:p>
      <w:r>
        <w:rPr>
          <w:color w:val="555555"/>
          <w:sz w:val="18"/>
        </w:rPr>
        <w:t xml:space="preserve">Sing- und Musikschulverordnung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Bezeichnung Singschule, Musikschule, Sing- und Musikschule darf nur ein Lehrgang führen, der die Mindestvoraussetzungen der §§ 2 bis 5 erfüllt. Die Bezeichnung kann mit einem Zusatz versehen werden.</w:t>
      </w:r>
    </w:p>
    <w:p>
      <w:r>
        <w:rPr>
          <w:color w:val="555555"/>
          <w:sz w:val="17"/>
        </w:rPr>
        <w:t xml:space="preserve">Zitiervorschlag: § 1 SiMuV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https://recht.nulegal.eu/gesetze/SiMuV/1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