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III SiMedErl</w:t>
      </w:r>
    </w:p>
    <w:p>
      <w:r>
        <w:rPr>
          <w:color w:val="555555"/>
          <w:sz w:val="18"/>
        </w:rPr>
        <w:t xml:space="preserve">Erlaß über die Stiftung der Silbermedaille für den Behindertensport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Ausgezeichnete erhält eine Verleihungsurkunde. Das Ehrenzeichen geht in das Eigentum des Ausgezeichneten über.</w:t>
      </w:r>
    </w:p>
    <w:p>
      <w:r>
        <w:rPr>
          <w:color w:val="555555"/>
          <w:sz w:val="17"/>
        </w:rPr>
        <w:t xml:space="preserve">Zitiervorschlag: Art III SiMedErl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https://recht.nulegal.eu/gesetze/SiMedErl/iii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