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SiGrG (Sachsen) — Änderung des Gebietes oder des Mitgliederbestandes; Auflösung des bisherigen Verbandes</w:t>
      </w:r>
    </w:p>
    <w:p>
      <w:r>
        <w:rPr>
          <w:color w:val="555555"/>
          <w:sz w:val="18"/>
        </w:rPr>
        <w:t xml:space="preserve">Sicherheitsneugründungsgesetz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Eine Sicherheitsneugründung darf nicht mit einer Änderung des Gebietes oder des Mitgliederbestandes des Zweckverbandes verbunden werden. Dies ist erst nach Abschluss der Sicherheitsneugründung zulässig, erfolgt nach § 62 Abs. 2 SächsKomZG und ist auch dann zulässig, wenn der Verband durch Ersatzvornahme nach § 4 gebildet wurde. Einer gesonderten Erklärung nach § 64 SächsKomZG bedarf es nicht.</w:t>
      </w:r>
    </w:p>
    <w:p>
      <w:r>
        <w:t xml:space="preserve">(2) Eine Übertragung neuer Aufgaben oder ein Anschluss neuer Mitglieder gegen deren Willen ist nur zulässig, soweit § 50 SächsKomZG dies zulässt.</w:t>
      </w:r>
    </w:p>
    <w:p>
      <w:r>
        <w:t xml:space="preserve">(3) An Stelle einer Sicherheitsneugründung kann die Auflösung des bisherigen Verbandes betrieben werden. In diesem Falle gelten §§ 29 und 62 Abs. 1, 3 und 4 SächsKomZG entsprechend. Eine Auflösung ist durchzuführen, wenn der bisherige Verband seine Tätigkeit niemals aufgenommen oder sie eingestellt hat.</w:t>
      </w:r>
    </w:p>
    <w:p>
      <w:r>
        <w:rPr>
          <w:color w:val="555555"/>
          <w:sz w:val="17"/>
        </w:rPr>
        <w:t xml:space="preserve">Zitiervorschlag: § 3 SiGrG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https://recht.nulegal.eu/gesetze/SiGrG/3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