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SfFV (Brandenburg) — Inkrafttreten</w:t>
      </w:r>
    </w:p>
    <w:p>
      <w:r>
        <w:rPr>
          <w:color w:val="555555"/>
          <w:sz w:val="18"/>
        </w:rPr>
        <w:t xml:space="preserve">SprachfestFörderverordnung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01.09.2026 (konsolidierte Textfassung, kein amtliches Inkrafttretensdatum)</w:t>
      </w:r>
    </w:p>
    <w:p>
      <w:r>
        <w:t xml:space="preserve">Diese Verordnung tritt mit Wirkung vom 1. August 2009 in Kraft.</w:t>
      </w:r>
    </w:p>
    <w:p>
      <w:r>
        <w:t xml:space="preserve">Potsdam, den 3. August 2009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Holger Rupprecht</w:t>
      </w:r>
    </w:p>
    <w:p>
      <w:r>
        <w:rPr>
          <w:color w:val="555555"/>
          <w:sz w:val="17"/>
        </w:rPr>
        <w:t xml:space="preserve">Zitiervorschlag: § 7 SfFV (Brandenburg)</w:t>
      </w:r>
    </w:p>
    <w:p>
      <w:r>
        <w:rPr>
          <w:color w:val="555555"/>
          <w:sz w:val="17"/>
        </w:rPr>
        <w:t xml:space="preserve">Quelle: bravors, abgerufen 02.09.2026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https://recht.nulegal.eu/gesetze/SfFV/7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