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SfFV (Brandenburg) — Verfahren bei der Anmeldung in der Schule</w:t>
      </w:r>
    </w:p>
    <w:p>
      <w:r>
        <w:rPr>
          <w:color w:val="555555"/>
          <w:sz w:val="18"/>
        </w:rPr>
        <w:t xml:space="preserve">SprachfestFörderverordnung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Stellt die Schule bei der Anmeldung fest, dass Kinder nicht an einer Sprachstandsfeststellung teilgenommen haben und nicht von der Verpflichtung zur Teilnahme gemäß § 3 Absatz 3 befreit waren, fordert die Schule unverzüglich die Eltern auf, ihrer Verpflichtung gemäß § 3 Absatz 1 und § 5 Absatz 2 zur Teilnahme an der jeweiligen Maßnahme nachzukommen. Die Eltern sind verpflichtet, der Schule eine Teilnahmebestätigung entsprechend § 4 Absatz 4 für die Sprachstandsfeststellung vorzulegen. Im Übrigen gilt § 5 Absatz 7 und 8 entsprechend.</w:t>
      </w:r>
    </w:p>
    <w:p>
      <w:r>
        <w:rPr>
          <w:color w:val="555555"/>
          <w:sz w:val="17"/>
        </w:rPr>
        <w:t xml:space="preserve">Zitiervorschlag: § 6 SfFV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https://recht.nulegal.eu/gesetze/SfFV/6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