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ServicefahrerAusbV — Ausbildungsrahmenplan</w:t>
      </w:r>
    </w:p>
    <w:p>
      <w:r>
        <w:rPr>
          <w:color w:val="555555"/>
          <w:sz w:val="18"/>
        </w:rPr>
        <w:t xml:space="preserve">Verordnung über die Berufsausbildung zum Servicefahrer/zur Servicefahrerin</w:t>
      </w:r>
    </w:p>
    <w:p>
      <w:r>
        <w:rPr>
          <w:color w:val="555555"/>
          <w:sz w:val="18"/>
        </w:rPr>
        <w:t xml:space="preserve">Stand: 10.06.2019 (konsolidierte Textfassung, kein amtliches Inkrafttretensdatum)</w:t>
      </w:r>
    </w:p>
    <w:p>
      <w:r>
        <w:t xml:space="preserve">Die Fertigkeiten und Kenntnisse nach § 4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ServicefahrerAusbV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https://recht.nulegal.eu/gesetze/ServicefahrerAusbV/5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