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ServiceTPrV — Inkrafttreten</w:t>
      </w:r>
    </w:p>
    <w:p>
      <w:r>
        <w:rPr>
          <w:color w:val="555555"/>
          <w:sz w:val="18"/>
        </w:rPr>
        <w:t xml:space="preserve">Verordnung über die Prüfung zum anerkannten Abschluß "Geprüfter Kraftfahrzeug-Servicetechniker/Geprüfte Kraftfahrzeug-Servicetechnikerin"</w:t>
      </w:r>
    </w:p>
    <w:p>
      <w:r>
        <w:rPr>
          <w:color w:val="555555"/>
          <w:sz w:val="18"/>
        </w:rPr>
        <w:t xml:space="preserve">Historische Fassung: Stand 25.12.2019 bis 30.09.2023. Dies ist nicht die aktuelle Fassung.</w:t>
      </w:r>
    </w:p>
    <w:p>
      <w:r>
        <w:t xml:space="preserve">Diese Verordnung tritt am 1. Juli 1998 in Kraft.</w:t>
      </w:r>
    </w:p>
    <w:p>
      <w:r>
        <w:rPr>
          <w:color w:val="555555"/>
          <w:sz w:val="17"/>
        </w:rPr>
        <w:t xml:space="preserve">Zitiervorschlag: § 12 ServiceTPrV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https://recht.nulegal.eu/gesetze/ServiceTPrV/12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