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ServKflLuftvAusbV</w:t>
      </w:r>
    </w:p>
    <w:p>
      <w:r>
        <w:rPr>
          <w:color w:val="555555"/>
          <w:sz w:val="18"/>
        </w:rPr>
        <w:t xml:space="preserve">Servicekaufleute-Luftverkehr-Ausbildungsverordnung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4 Absatz 1 des Berufsbildungsgesetzes, der zuletzt durch Artikel 436 Nummer 1 der Verordnung vom 31. August 2015 (BGBl. I S. 1474) geändert worden ist, verordnet das Bundesministerium für Wirtschaft und Energie im Einvernehmen mit dem Bundesministerium für Bildung und Forschung:</w:t>
      </w:r>
    </w:p>
    <w:p>
      <w:r>
        <w:rPr>
          <w:color w:val="555555"/>
          <w:sz w:val="17"/>
        </w:rPr>
        <w:t xml:space="preserve">Zitiervorschlag: Eingangsformel ServKflLuftvAusbV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https://recht.nulegal.eu/gesetze/ServKflLuftvAusbV/eingangsformel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