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ServKflLuftvAusbV — Prüfungsbereich Passagierprozesse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Passagierprozesse soll der Prüfling nachweisen, dass er in der Lage ist,</w:t>
      </w:r>
    </w:p>
    <w:p>
      <w:pPr>
        <w:ind w:left="420"/>
      </w:pPr>
      <w:r>
        <w:t xml:space="preserve">1. passagierbezogene Anforderungen für den Check-in und für das Boarding aufzuzeigen und umzusetzen,</w:t>
      </w:r>
    </w:p>
    <w:p>
      <w:pPr>
        <w:ind w:left="420"/>
      </w:pPr>
      <w:r>
        <w:t xml:space="preserve">2. Passagiere und Passagierinnen unter Berücksichtigung der Bedürfnisse besonderer Personengruppen und soziokultureller Besonderheiten zu beraten und zu betreuen,</w:t>
      </w:r>
    </w:p>
    <w:p>
      <w:pPr>
        <w:ind w:left="420"/>
      </w:pPr>
      <w:r>
        <w:t xml:space="preserve">3. rechtliche Regelungen und Vorgaben einzuhalten sowie Standards des Luftverkehrs anzuwenden und</w:t>
      </w:r>
    </w:p>
    <w:p>
      <w:pPr>
        <w:ind w:left="420"/>
      </w:pPr>
      <w:r>
        <w:t xml:space="preserve">4. die englische Sprache situations- und berufsbezogen anzuwenden.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10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