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SektionsV (Brandenburg)</w:t>
      </w:r>
    </w:p>
    <w:p>
      <w:r>
        <w:rPr>
          <w:color w:val="555555"/>
          <w:sz w:val="18"/>
        </w:rPr>
        <w:t xml:space="preserve">Sektionsverordnung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für die Erteilung der Ermächtigung zur Durchführung von klinischen Sektionen nach § 11 Abs. 1 Satz 1 des Brandenburgischen Bestattungsgesetzes wird auf das Landesamt für Arbeitsschutz, Verbraucherschutz und Gesundheit übertragen.</w:t>
      </w:r>
    </w:p>
    <w:p>
      <w:r>
        <w:rPr>
          <w:color w:val="555555"/>
          <w:sz w:val="17"/>
        </w:rPr>
        <w:t xml:space="preserve">Zitiervorschlag: § 2 SektionsV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https://recht.nulegal.eu/gesetze/SektionsV/2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