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SektionsV (Brandenburg)</w:t>
      </w:r>
    </w:p>
    <w:p>
      <w:r>
        <w:rPr>
          <w:color w:val="555555"/>
          <w:sz w:val="18"/>
        </w:rPr>
        <w:t xml:space="preserve">Sektionsverordnung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Ermächtigung zur klinischen Sektion kann nur erteilt werden, wenn</w:t>
      </w:r>
    </w:p>
    <w:p>
      <w:r>
        <w:t xml:space="preserve">sichergestellt ist, dass eine Fachärztin oder ein Facharzt für Pathologie oder Rechtsmedizin die Sektionen selbst leitet und durchführt oder ärztliches Personal ohne entsprechende Facharztanerkennung persönlich beaufsichtigt und direkt anleitet,</w:t>
      </w:r>
    </w:p>
    <w:p>
      <w:r>
        <w:t xml:space="preserve">die Einhaltung der hygienischen Mindestanforderungen durch eine Bescheinigung des zuständigen Gesundheitsamtes nach § 19 Abs. 1 Nr. 11 des Brandenburgischen Gesundheitsdienstgesetzes vom 3. Juni 1994 (GVBl. I S. 178) nachgewiesen ist und</w:t>
      </w:r>
    </w:p>
    <w:p>
      <w:r>
        <w:t xml:space="preserve">gewährleistet ist, dass die Voraussetzungen zur Durchführung der klinischen Sektion den Anforderungen der Arbeitsstättenverordnung vom 12. August 2004 (BGBl. I S. 2179) sowie der Biostoffverordnung vom 27. Januar 1999 (BGBl. I S. 50) in den jeweils geltenden Fassungen entsprechen.</w:t>
      </w:r>
    </w:p>
    <w:p>
      <w:r>
        <w:rPr>
          <w:color w:val="555555"/>
          <w:sz w:val="17"/>
        </w:rPr>
        <w:t xml:space="preserve">Zitiervorschlag: § 1 SektionsV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https://recht.nulegal.eu/gesetze/SektionsV/1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