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64 SektVO 2016 — Übergangsbestimmungen</w:t>
      </w:r>
    </w:p>
    <w:p>
      <w:r>
        <w:rPr>
          <w:color w:val="555555"/>
          <w:sz w:val="18"/>
        </w:rPr>
        <w:t xml:space="preserve">Sektorenverordnung</w:t>
      </w:r>
    </w:p>
    <w:p>
      <w:r>
        <w:rPr>
          <w:color w:val="555555"/>
          <w:sz w:val="18"/>
        </w:rPr>
        <w:t xml:space="preserve">Stand: 10.06.2019 (konsolidierte Textfassung, kein amtliches Inkrafttretensdatum)</w:t>
      </w:r>
    </w:p>
    <w:p>
      <w:r>
        <w:t xml:space="preserve">Zentrale Beschaffungsstellen im Sinne von § 120 Absatz 4 Satz 1 des Gesetzes gegen Wettbewerbsbeschränkungen können bis zum 18. April 2017, andere Auftraggeber bis zum 18. Oktober 2018, abweichend von § 43 Absatz 1 die Übermittlung der Angebote, Teilnahmeanträge und Interessensbestätigungen auch auf dem Postweg, anderem geeigneten Weg, Fax oder durch die Kombination dieser Mittel verlangen. Dasselbe gilt für die sonstige Kommunikation im Sinne des § 9 Absatz 1, soweit sie nicht die Übermittlung von Bekanntmachungen und die Bereitstellung der Vergabeunterlagen betrifft.</w:t>
      </w:r>
    </w:p>
    <w:p>
      <w:r>
        <w:rPr>
          <w:color w:val="555555"/>
          <w:sz w:val="17"/>
        </w:rPr>
        <w:t xml:space="preserve">Zitiervorschlag: § 64 SektVO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https://recht.nulegal.eu/gesetze/SektVO%202016/64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64 SektVO 2016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