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SektVO 2016 — Beschaffung energieverbrauchsrelevanter Leistungen</w:t>
      </w:r>
    </w:p>
    <w:p>
      <w:r>
        <w:rPr>
          <w:color w:val="555555"/>
          <w:sz w:val="18"/>
        </w:rPr>
        <w:t xml:space="preserve">Sektorenverordnung</w:t>
      </w:r>
    </w:p>
    <w:p>
      <w:r>
        <w:rPr>
          <w:color w:val="555555"/>
          <w:sz w:val="18"/>
        </w:rPr>
        <w:t xml:space="preserve">Stand: 10.06.2019 (konsolidierte Textfassung, kein amtliches Inkrafttretensdatum)</w:t>
      </w:r>
    </w:p>
    <w:p>
      <w:r>
        <w:t xml:space="preserve">(1) Mit der Leistungsbeschreibung sind im Rahmen der technischen Spezifikationen von den Bietern Angaben zum Energieverbrauch von technischen Geräten und Ausrüstungen zu fordern. Bei Bauleistungen sind diese Angaben dann zu fordern, wenn die Lieferung von technischen Geräten und Ausrüstungen Bestandteil dieser Bauleistungen sind. Dabei ist in geeigneten Fällen eine Analyse minimierter Lebenszykluskosten oder eine vergleichbare Methode zur Gewährleistung der Wirtschaftlichkeit vom Bieter zu fordern.</w:t>
      </w:r>
    </w:p>
    <w:p>
      <w:r>
        <w:t xml:space="preserve">(2) Bei technischen Geräten und Ausrüstungen kann deren Energieverbrauch bei der Entscheidung über den Zuschlag berücksichtigt werden, bei Bauleistungen jedoch nur dann, wenn die Lieferung der technischen Geräte oder Ausrüstungen ein wesentlicher Bestandteil der Bauleistung ist.</w:t>
      </w:r>
    </w:p>
    <w:p>
      <w:r>
        <w:rPr>
          <w:color w:val="555555"/>
          <w:sz w:val="17"/>
        </w:rPr>
        <w:t xml:space="preserve">Zitiervorschlag: § 58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