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45 SektVO 2016 — Grundsätze</w:t>
      </w:r>
    </w:p>
    <w:p>
      <w:r>
        <w:rPr>
          <w:color w:val="555555"/>
          <w:sz w:val="18"/>
        </w:rPr>
        <w:t xml:space="preserve">Sektorenverordnung</w:t>
      </w:r>
    </w:p>
    <w:p>
      <w:r>
        <w:rPr>
          <w:color w:val="555555"/>
          <w:sz w:val="18"/>
        </w:rPr>
        <w:t xml:space="preserve">Stand: 10.06.2019 (konsolidierte Textfassung, kein amtliches Inkrafttretensdatum)</w:t>
      </w:r>
    </w:p>
    <w:p>
      <w:r>
        <w:t xml:space="preserve">(1) Bei der Auswahl der Teilnehmer an Vergabeverfahren beachtet der Auftraggeber die in den Absätzen 2 und 3 genannten Grundsätze.</w:t>
      </w:r>
    </w:p>
    <w:p>
      <w:r>
        <w:t xml:space="preserve">(2) Bei einem nicht offenen Verfahren, Verhandlungsverfahren, wettbewerblichen Dialog oder einer Innovationspartnerschaft darf der Auftraggeber bezüglich seiner Auswahlentscheidung Unternehmen keine administrativen, technischen oder finanziellen Anforderungen stellen, die er anderen Unternehmen nicht stellt, sowie bei der Aktualisierung von Kriterien keine Nachweise fordern, die sich mit bereits vorhandenen Nachweisen decken.</w:t>
      </w:r>
    </w:p>
    <w:p>
      <w:r>
        <w:t xml:space="preserve">(3) In Fällen, in denen der Auftraggeber ein angemessenes Gleichgewicht zwischen bestimmten Merkmalen des Vergabeverfahrens und den notwendigen Ressourcen für dessen Durchführung sicherstellen muss, kann er bei nicht offenen Verfahren, Verhandlungsverfahren, wettbewerblichen Dialogen oder Innovationspartnerschaften objektive Kriterien festlegen, die es ermöglichen, die Zahl der Bewerber, die zur Angebotsabgabe oder zur Aufnahme von Verhandlungen aufgefordert werden, zu begrenzen. Die Zahl der ausgewählten Bewerber muss jedoch der Notwendigkeit Rechnung tragen, dass ein angemessener Wettbewerb gewährleistet sein muss.</w:t>
      </w:r>
    </w:p>
    <w:p>
      <w:r>
        <w:rPr>
          <w:color w:val="555555"/>
          <w:sz w:val="17"/>
        </w:rPr>
        <w:t xml:space="preserve">Zitiervorschlag: § 45 SektVO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https://recht.nulegal.eu/gesetze/SektVO%202016/45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