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SektVO 2016 — Elektronische Bereitstellung von Vergabeunterlagen</w:t>
      </w:r>
    </w:p>
    <w:p>
      <w:r>
        <w:rPr>
          <w:color w:val="555555"/>
          <w:sz w:val="18"/>
        </w:rPr>
        <w:t xml:space="preserve">Sektorenverordnung</w:t>
      </w:r>
    </w:p>
    <w:p>
      <w:r>
        <w:rPr>
          <w:color w:val="555555"/>
          <w:sz w:val="18"/>
        </w:rPr>
        <w:t xml:space="preserve">Stand: 01.07.2026 (konsolidierte Textfassung, kein amtliches Inkrafttretensdatum)</w:t>
      </w:r>
    </w:p>
    <w:p>
      <w:r>
        <w:t xml:space="preserve">(1) Der Auftraggeber gibt in der Auftragsbekanntmachung oder der Aufforderung zur Interessensbestätigung eine elektronische Adresse an, unter der die Vergabeunterlagen unentgeltlich, uneingeschränkt, vollständig und direkt abgerufen werden können.</w:t>
      </w:r>
    </w:p>
    <w:p>
      <w:r>
        <w:t xml:space="preserve">(2) Im Falle einer Bekanntmachung über das Bestehen eines Qualifizierungssystems nach § 37 ist dieser Zugang unverzüglich, spätestens zum Zeitpunkt der Absendung der Aufforderung zur Angebotsabgabe oder zu Verhandlungen anzubieten. Der Text der Bekanntmachung oder dieser Aufforderung muss die Internetadresse, über die diese Vergabeunterlagen abrufbar sind, enthalten.</w:t>
      </w:r>
    </w:p>
    <w:p>
      <w:r>
        <w:t xml:space="preserve">(3) Der Auftraggeber kann die Vergabeunterlagen auf einem anderen geeigneten Weg zur Verfügung stellen oder übermitteln, wenn die erforderlichen elektronischen Mittel zum Abruf der Unterlagen</w:t>
      </w:r>
    </w:p>
    <w:p>
      <w:pPr>
        <w:ind w:left="420"/>
      </w:pPr>
      <w:r>
        <w:t xml:space="preserve">1. aufgrund der besonderen Art der Auftragsvergabe nicht mit allgemein verfügbaren oder verbreiteten Geräten und Programmen der Informations- und Kommunikationstechnologie kompatibel sind,</w:t>
      </w:r>
    </w:p>
    <w:p>
      <w:pPr>
        <w:ind w:left="420"/>
      </w:pPr>
      <w:r>
        <w:t xml:space="preserve">2. Dateiformate zur Beschreibung der Angebote verwenden, die nicht mit allgemein verfügbaren oder verbreiteten Programmen verarbeitet werden können oder die durch andere als kostenlose und allgemein verfügbare Lizenzen geschützt sind, oder</w:t>
      </w:r>
    </w:p>
    <w:p>
      <w:pPr>
        <w:ind w:left="420"/>
      </w:pPr>
      <w:r>
        <w:t xml:space="preserve">3. die Verwendung von Bürogeräten voraussetzen, die Auftraggebern nicht allgemein zur Verfügung stehen.</w:t>
      </w:r>
    </w:p>
    <w:p>
      <w:r>
        <w:t xml:space="preserve">Die Angebotsfrist wird in diesen Fällen um fünf Tage verlängert, sofern nicht ein Fall hinreichend begründeter Dringlichkeit gemäß § 14 Absatz 3 vorliegt oder die Frist gemäß § 15 Absatz 3 im gegenseitigen Einvernehmen festgelegt wurde.</w:t>
      </w:r>
    </w:p>
    <w:p>
      <w:r>
        <w:t xml:space="preserve">(4) Der Auftraggeber gibt in der Auftragsbekanntmachung oder der Aufforderung zur Interessensbestätigung oder, sofern eine Bekanntmachung über das Bestehen eines Qualifizierungssystems erfolgt, in den Vergabeunterlagen an, welche Maßnahmen er zum Schutz der Vertraulichkeit von Informationen anwendet und wie auf die Vergabeunterlagen zugegriffen werden kann. Die Angebotsfrist wird in diesen Fällen um fünf Tage verlängert, es sei denn, die Maßnahme zum Schutz der Vertraulichkeit besteht ausschließlich in der Abgabe einer Verschwiegenheitserklärung, es liegt ein Fall hinreichend begründeter Dringlichkeit gemäß § 14 Absatz 3 vor oder die Frist wurde gemäß § 15 Absatz 3 im gegenseitigen Einvernehmen festgelegt.</w:t>
      </w:r>
    </w:p>
    <w:p>
      <w:r>
        <w:rPr>
          <w:color w:val="555555"/>
          <w:sz w:val="17"/>
        </w:rPr>
        <w:t xml:space="preserve">Zitiervorschlag: § 41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