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SektVO 2016 — Vergabebekanntmachungen; Bekanntmachung über Auftragsänderungen</w:t>
      </w:r>
    </w:p>
    <w:p>
      <w:r>
        <w:rPr>
          <w:color w:val="555555"/>
          <w:sz w:val="18"/>
        </w:rPr>
        <w:t xml:space="preserve">Sektorenverordnung</w:t>
      </w:r>
    </w:p>
    <w:p>
      <w:r>
        <w:rPr>
          <w:color w:val="555555"/>
          <w:sz w:val="18"/>
        </w:rPr>
        <w:t xml:space="preserve">Stand: 24.08.2023 (konsolidierte Textfassung, kein amtliches Inkrafttretensdatum)</w:t>
      </w:r>
    </w:p>
    <w:p>
      <w:r>
        <w:t xml:space="preserve">(1) Der Auftraggeber übermittelt spätestens 30 Tage nach Zuschlagserteilung oder nach dem Abschluss einer Rahmenvereinbarung eine Vergabebekanntmachung mit den Ergebnissen des Vergabeverfahrens an das Amt für Veröffentlichungen der Europäischen Union über den Datenservice Öffentlicher Einkauf.</w:t>
      </w:r>
    </w:p>
    <w:p>
      <w:r>
        <w:t xml:space="preserve">(2) Die Vergabebekanntmachung wird nach den Vorgaben der Spalte 30 der Tabelle 2 des Anhangs der Durchführungsverordnung (EU) 2019/1780 in Verbindung mit § 10a erstellt.</w:t>
      </w:r>
    </w:p>
    <w:p>
      <w:r>
        <w:t xml:space="preserve">(3) Ist das Vergabeverfahren durch eine regelmäßige nicht verbindliche Bekanntmachung in Gang gesetzt worden und hat der Auftraggeber beschlossen, keine weitere Auftragsvergabe während des Zeitraums vorzunehmen, der von der regelmäßigen nicht verbindlichen Bekanntmachung abgedeckt ist, muss die Vergabebekanntmachung einen entsprechenden Hinweis enthalten.</w:t>
      </w:r>
    </w:p>
    <w:p>
      <w:r>
        <w:t xml:space="preserve">(4) Die Vergabebekanntmachung umfasst die abgeschlossenen Rahmenvereinbarungen, aber nicht die auf ihrer Grundlage vergebenen Einzelaufträge. Bei Aufträgen, die im Rahmen eines dynamischen Beschaffungssystems vergeben werden, umfasst die Vergabebekanntmachung eine vierteljährliche Zusammenstellung der Einzelaufträge, die Zusammenstellung muss spätestens 30 Tage nach Quartalsende versendet werden.</w:t>
      </w:r>
    </w:p>
    <w:p>
      <w:r>
        <w:t xml:space="preserve">(5) Auftragsänderungen gemäß § 132 Absatz 2 Nummer 2 und 3 des Gesetzes gegen Wettbewerbsbeschränkungen sind gemäß § 132 Absatz 5 des Gesetzes gegen Wettbewerbsbeschränkungen nach den Vorgaben der Spalte 39 der Tabelle 2 des Anhangs der Durchführungsverordnung (EU) 2019/1780 in Verbindung mit § 10a bekanntzumachen.</w:t>
      </w:r>
    </w:p>
    <w:p>
      <w:r>
        <w:t xml:space="preserve">(6) Der Auftraggeber ist nicht verpflichtet, einzelne Angaben zu veröffentlichen, wenn deren Veröffentlichung</w:t>
      </w:r>
    </w:p>
    <w:p>
      <w:pPr>
        <w:ind w:left="420"/>
      </w:pPr>
      <w:r>
        <w:t xml:space="preserve">1. den Gesetzesvollzug behindern,</w:t>
      </w:r>
    </w:p>
    <w:p>
      <w:pPr>
        <w:ind w:left="420"/>
      </w:pPr>
      <w:r>
        <w:t xml:space="preserve">2. dem öffentlichen Interesse zuwiderlaufen,</w:t>
      </w:r>
    </w:p>
    <w:p>
      <w:pPr>
        <w:ind w:left="420"/>
      </w:pPr>
      <w:r>
        <w:t xml:space="preserve">3. den berechtigten geschäftlichen Interessen eines Unternehmens schaden oder</w:t>
      </w:r>
    </w:p>
    <w:p>
      <w:pPr>
        <w:ind w:left="420"/>
      </w:pPr>
      <w:r>
        <w:t xml:space="preserve">4. den lauteren Wettbewerb zwischen Unternehmen beeinträchtigen</w:t>
      </w:r>
    </w:p>
    <w:p>
      <w:r>
        <w:t xml:space="preserve">würde.</w:t>
      </w:r>
    </w:p>
    <w:p>
      <w:r>
        <w:t xml:space="preserve">(7) Bei vergebenen Dienstleistungsaufträgen auf dem Gebiet der Forschung und Entwicklung (F&amp;E-Dienstleistungen) können die Angaben zur Art und Menge der Dienstleistung auf Folgendes beschränkt werden:</w:t>
      </w:r>
    </w:p>
    <w:p>
      <w:pPr>
        <w:ind w:left="420"/>
      </w:pPr>
      <w:r>
        <w:t xml:space="preserve">1. auf die Angabe „F&amp;E-Dienstleistungen“, sofern der Auftrag im Zuge eines Verhandlungsverfahrens ohne vorherigen Teilnahmewettbewerb vergeben wurde,</w:t>
      </w:r>
    </w:p>
    <w:p>
      <w:pPr>
        <w:ind w:left="420"/>
      </w:pPr>
      <w:r>
        <w:t xml:space="preserve">2. auf Angaben in der Auftragsbekanntmachung, die mindestens ebenso detailliert sind wie in der Auftragsbekanntmachung.</w:t>
      </w:r>
    </w:p>
    <w:p>
      <w:r>
        <w:rPr>
          <w:color w:val="555555"/>
          <w:sz w:val="17"/>
        </w:rPr>
        <w:t xml:space="preserve">Zitiervorschlag: § 38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